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FB" w:rsidRDefault="00AB1CFB" w:rsidP="00AB1CFB">
      <w:pPr>
        <w:shd w:val="clear" w:color="auto" w:fill="FFFFFF"/>
        <w:spacing w:after="12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1CFB">
        <w:rPr>
          <w:rFonts w:ascii="Times New Roman" w:hAnsi="Times New Roman" w:cs="Times New Roman"/>
          <w:b/>
          <w:sz w:val="24"/>
          <w:szCs w:val="24"/>
        </w:rPr>
        <w:t xml:space="preserve">UPUTA ZA </w:t>
      </w:r>
      <w:r w:rsidRPr="00AB1CFB">
        <w:rPr>
          <w:rFonts w:ascii="Times New Roman" w:hAnsi="Times New Roman" w:cs="Times New Roman"/>
          <w:b/>
          <w:color w:val="000000"/>
          <w:sz w:val="24"/>
          <w:szCs w:val="24"/>
        </w:rPr>
        <w:t>REGISTRACIJU UZGOJA VRSTA NAVEDENIH U PRILOGU A UREDBE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VIJEĆA</w:t>
      </w:r>
      <w:r w:rsidRPr="00AB1C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(EZ) BR. 338/97</w:t>
      </w:r>
    </w:p>
    <w:p w:rsidR="00AB1CFB" w:rsidRPr="00AB1CFB" w:rsidRDefault="00AB1CFB" w:rsidP="00AB1CFB">
      <w:pPr>
        <w:shd w:val="clear" w:color="auto" w:fill="FFFFFF"/>
        <w:spacing w:after="12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1CFB" w:rsidRDefault="00AB1CFB" w:rsidP="00AB1CFB">
      <w:pPr>
        <w:shd w:val="clear" w:color="auto" w:fill="FFFFFF"/>
        <w:spacing w:after="120"/>
        <w:jc w:val="both"/>
        <w:textAlignment w:val="baseline"/>
        <w:rPr>
          <w:rFonts w:ascii="Minion Pro" w:hAnsi="Minion Pro"/>
          <w:b/>
          <w:color w:val="000000"/>
        </w:rPr>
      </w:pPr>
      <w:r>
        <w:rPr>
          <w:rFonts w:ascii="Minion Pro" w:hAnsi="Minion Pro"/>
          <w:color w:val="000000"/>
        </w:rPr>
        <w:t xml:space="preserve">Dana 25. lipnja 2022. na snagu je stupio </w:t>
      </w:r>
      <w:r w:rsidRPr="00AB1CFB">
        <w:rPr>
          <w:rFonts w:ascii="Minion Pro" w:hAnsi="Minion Pro"/>
          <w:color w:val="000000"/>
        </w:rPr>
        <w:t>Zakon o izmjenama i dopunama Zakona o prekograničnom prometu i tr</w:t>
      </w:r>
      <w:r>
        <w:rPr>
          <w:rFonts w:ascii="Minion Pro" w:hAnsi="Minion Pro"/>
          <w:color w:val="000000"/>
        </w:rPr>
        <w:t>govini divljim vrstama (Narodne nov</w:t>
      </w:r>
      <w:r w:rsidR="0048373E">
        <w:rPr>
          <w:rFonts w:ascii="Minion Pro" w:hAnsi="Minion Pro"/>
          <w:color w:val="000000"/>
        </w:rPr>
        <w:t>ine, br. 69/2022), koji u člancima</w:t>
      </w:r>
      <w:r>
        <w:rPr>
          <w:rFonts w:ascii="Minion Pro" w:hAnsi="Minion Pro"/>
          <w:color w:val="000000"/>
        </w:rPr>
        <w:t xml:space="preserve"> 12., 12.a, 12.b i 12. c propisuje </w:t>
      </w:r>
      <w:r w:rsidRPr="00AB1CFB">
        <w:rPr>
          <w:rFonts w:ascii="Minion Pro" w:hAnsi="Minion Pro"/>
          <w:b/>
          <w:color w:val="000000"/>
        </w:rPr>
        <w:t>obvezu registracije svim uzgajivačima vrsta navedenih u Prilogu A Uredbe Vijeća b</w:t>
      </w:r>
      <w:r w:rsidR="00426E4E">
        <w:rPr>
          <w:rFonts w:ascii="Minion Pro" w:hAnsi="Minion Pro"/>
          <w:b/>
          <w:color w:val="000000"/>
        </w:rPr>
        <w:t>r. 338/97 u Republici Hrvatskoj, koja predstavlja preduvjet za izdavanje EU potvrde za komercijalno korištenje tih vrsta od strane nadležnog Ministarstva u Republici Hrvatskoj.</w:t>
      </w:r>
    </w:p>
    <w:p w:rsidR="00426E4E" w:rsidRPr="00426E4E" w:rsidRDefault="00426E4E" w:rsidP="00AB1CFB">
      <w:pPr>
        <w:shd w:val="clear" w:color="auto" w:fill="FFFFFF"/>
        <w:spacing w:after="120"/>
        <w:jc w:val="both"/>
        <w:textAlignment w:val="baseline"/>
        <w:rPr>
          <w:rFonts w:ascii="Minion Pro" w:hAnsi="Minion Pro"/>
          <w:color w:val="000000"/>
        </w:rPr>
      </w:pPr>
      <w:r w:rsidRPr="00426E4E">
        <w:rPr>
          <w:rFonts w:ascii="Minion Pro" w:hAnsi="Minion Pro"/>
          <w:color w:val="000000"/>
        </w:rPr>
        <w:t>Provjera da li se vrsta navodi u Prilogu A Uredbe Vijeća (EZ) br. 338/97, može se napraviti na</w:t>
      </w:r>
      <w:r>
        <w:rPr>
          <w:rFonts w:ascii="Minion Pro" w:hAnsi="Minion Pro"/>
          <w:color w:val="000000"/>
        </w:rPr>
        <w:t xml:space="preserve"> internetskoj stranici </w:t>
      </w:r>
      <w:hyperlink r:id="rId4" w:history="1">
        <w:proofErr w:type="spellStart"/>
        <w:r w:rsidRPr="00426E4E">
          <w:rPr>
            <w:rStyle w:val="Hiperveza"/>
            <w:rFonts w:ascii="Minion Pro" w:hAnsi="Minion Pro"/>
          </w:rPr>
          <w:t>Species</w:t>
        </w:r>
        <w:proofErr w:type="spellEnd"/>
        <w:r w:rsidRPr="00426E4E">
          <w:rPr>
            <w:rStyle w:val="Hiperveza"/>
            <w:rFonts w:ascii="Minion Pro" w:hAnsi="Minion Pro"/>
          </w:rPr>
          <w:t>+</w:t>
        </w:r>
      </w:hyperlink>
      <w:r w:rsidRPr="00426E4E">
        <w:rPr>
          <w:rFonts w:ascii="Minion Pro" w:hAnsi="Minion Pro"/>
          <w:color w:val="000000"/>
        </w:rPr>
        <w:t xml:space="preserve"> upisom latinskog, tj. znanstvenog naziva vrste u tražilicu.</w:t>
      </w:r>
    </w:p>
    <w:p w:rsidR="0048373E" w:rsidRPr="00C20F46" w:rsidRDefault="0048373E" w:rsidP="0048373E">
      <w:pPr>
        <w:shd w:val="clear" w:color="auto" w:fill="FFFFFF"/>
        <w:spacing w:after="120"/>
        <w:jc w:val="both"/>
        <w:textAlignment w:val="baseline"/>
        <w:rPr>
          <w:rFonts w:ascii="Minion Pro" w:hAnsi="Minion Pro"/>
          <w:color w:val="000000"/>
        </w:rPr>
      </w:pPr>
      <w:r w:rsidRPr="00C20F46">
        <w:rPr>
          <w:rFonts w:ascii="Minion Pro" w:hAnsi="Minion Pro"/>
          <w:color w:val="000000"/>
        </w:rPr>
        <w:t>Ministarstvo vodi registar uzgajivača vrsta navedenih u Prilogu A Uredbe (EZ) br. 338/97 u Republici Hrvatskoj</w:t>
      </w:r>
      <w:r>
        <w:rPr>
          <w:rFonts w:ascii="Minion Pro" w:hAnsi="Minion Pro"/>
          <w:color w:val="000000"/>
        </w:rPr>
        <w:t xml:space="preserve"> s registarskim brojevima</w:t>
      </w:r>
      <w:r w:rsidRPr="00C20F46">
        <w:rPr>
          <w:rFonts w:ascii="Minion Pro" w:hAnsi="Minion Pro"/>
          <w:color w:val="000000"/>
        </w:rPr>
        <w:t>.</w:t>
      </w:r>
    </w:p>
    <w:p w:rsidR="00AB1CFB" w:rsidRPr="00C20F46" w:rsidRDefault="0048373E" w:rsidP="0048373E">
      <w:pPr>
        <w:shd w:val="clear" w:color="auto" w:fill="FFFFFF"/>
        <w:spacing w:after="120"/>
        <w:jc w:val="both"/>
        <w:textAlignment w:val="baseline"/>
        <w:rPr>
          <w:rFonts w:ascii="Minion Pro" w:hAnsi="Minion Pro"/>
          <w:color w:val="000000"/>
        </w:rPr>
      </w:pPr>
      <w:r w:rsidRPr="00C20F46">
        <w:rPr>
          <w:rFonts w:ascii="Minion Pro" w:hAnsi="Minion Pro"/>
          <w:color w:val="000000"/>
        </w:rPr>
        <w:t xml:space="preserve">Ministarstvo po </w:t>
      </w:r>
      <w:r>
        <w:rPr>
          <w:rFonts w:ascii="Minion Pro" w:hAnsi="Minion Pro"/>
          <w:color w:val="000000"/>
        </w:rPr>
        <w:t xml:space="preserve">zahtjevu stranke ili po </w:t>
      </w:r>
      <w:r w:rsidRPr="00C20F46">
        <w:rPr>
          <w:rFonts w:ascii="Minion Pro" w:hAnsi="Minion Pro"/>
          <w:color w:val="000000"/>
        </w:rPr>
        <w:t>službenoj dužnosti obavlja upis u registar</w:t>
      </w:r>
      <w:r>
        <w:rPr>
          <w:rFonts w:ascii="Minion Pro" w:hAnsi="Minion Pro"/>
          <w:color w:val="000000"/>
        </w:rPr>
        <w:t xml:space="preserve"> uzgajivača vrsta navedenih u Prilogu A</w:t>
      </w:r>
      <w:r w:rsidRPr="00C20F46">
        <w:rPr>
          <w:rFonts w:ascii="Minion Pro" w:hAnsi="Minion Pro"/>
          <w:color w:val="000000"/>
        </w:rPr>
        <w:t>, u postupcima ishođenja dopuštenja za uzgoj strogo zaštićenih ili stranih vrsta</w:t>
      </w:r>
      <w:r w:rsidRPr="00C20F46">
        <w:rPr>
          <w:rFonts w:ascii="Calibri" w:eastAsia="Calibri" w:hAnsi="Calibri"/>
        </w:rPr>
        <w:t xml:space="preserve"> </w:t>
      </w:r>
      <w:r w:rsidRPr="00C20F46">
        <w:rPr>
          <w:rFonts w:ascii="Minion Pro" w:hAnsi="Minion Pro"/>
          <w:color w:val="000000"/>
        </w:rPr>
        <w:t>prema posebnim propisima iz područja zaštite prirode, a koje su navedene u Prilogu A Uredbe (EZ) br. 338/97, započetima nakon</w:t>
      </w:r>
      <w:r>
        <w:rPr>
          <w:rFonts w:ascii="Minion Pro" w:hAnsi="Minion Pro"/>
          <w:color w:val="000000"/>
        </w:rPr>
        <w:t xml:space="preserve"> stupanja na snagu ovoga Zakona, a osnova za registraciju je </w:t>
      </w:r>
      <w:r w:rsidR="00AB1CFB" w:rsidRPr="00426E4E">
        <w:rPr>
          <w:rFonts w:ascii="Minion Pro" w:hAnsi="Minion Pro"/>
          <w:b/>
          <w:color w:val="000000"/>
        </w:rPr>
        <w:t>dokumentacij</w:t>
      </w:r>
      <w:r>
        <w:rPr>
          <w:rFonts w:ascii="Minion Pro" w:hAnsi="Minion Pro"/>
          <w:b/>
          <w:color w:val="000000"/>
        </w:rPr>
        <w:t>a kojom se neosporno može utvrditi zakonito podrijetlo</w:t>
      </w:r>
      <w:r w:rsidR="00AB1CFB" w:rsidRPr="00426E4E">
        <w:rPr>
          <w:rFonts w:ascii="Minion Pro" w:hAnsi="Minion Pro"/>
          <w:b/>
          <w:color w:val="000000"/>
        </w:rPr>
        <w:t xml:space="preserve"> roditeljskih jedinki koje čine matični fond.</w:t>
      </w:r>
    </w:p>
    <w:p w:rsidR="00AB1CFB" w:rsidRPr="00C20F46" w:rsidRDefault="00AB1CFB" w:rsidP="00AB1CFB">
      <w:pPr>
        <w:shd w:val="clear" w:color="auto" w:fill="FFFFFF"/>
        <w:spacing w:after="120"/>
        <w:jc w:val="both"/>
        <w:textAlignment w:val="baseline"/>
        <w:rPr>
          <w:rFonts w:ascii="Minion Pro" w:hAnsi="Minion Pro"/>
          <w:color w:val="000000"/>
        </w:rPr>
      </w:pPr>
      <w:r w:rsidRPr="00C20F46">
        <w:rPr>
          <w:rFonts w:ascii="Minion Pro" w:hAnsi="Minion Pro"/>
          <w:color w:val="000000"/>
        </w:rPr>
        <w:t>Za vrste iz Priloga A Uredbe (EZ) br. 338/97 za koje ne postoji obveza ishođenja dopuštenja za uzgoj prema posebnim propisima iz područja zaštite prirode, pravna i fizička osoba dužna je prije početka uzgoja podnijeti zahtjev za upis u registar</w:t>
      </w:r>
      <w:r w:rsidR="00B31688" w:rsidRPr="00426E4E">
        <w:rPr>
          <w:rFonts w:ascii="Minion Pro" w:hAnsi="Minion Pro"/>
          <w:color w:val="000000"/>
        </w:rPr>
        <w:t xml:space="preserve"> </w:t>
      </w:r>
      <w:r w:rsidR="00B31688" w:rsidRPr="00B31688">
        <w:rPr>
          <w:rFonts w:ascii="Minion Pro" w:hAnsi="Minion Pro"/>
          <w:color w:val="000000"/>
        </w:rPr>
        <w:t>uzgajivača vrsta navedenih u Prilogu A Uredbe (EZ) br. 338/97</w:t>
      </w:r>
      <w:r w:rsidRPr="00C20F46">
        <w:rPr>
          <w:rFonts w:ascii="Minion Pro" w:hAnsi="Minion Pro"/>
          <w:color w:val="000000"/>
        </w:rPr>
        <w:t xml:space="preserve">. </w:t>
      </w:r>
    </w:p>
    <w:p w:rsidR="00AB1CFB" w:rsidRPr="00C20F46" w:rsidRDefault="00AB1CFB" w:rsidP="00AB1CFB">
      <w:pPr>
        <w:shd w:val="clear" w:color="auto" w:fill="FFFFFF"/>
        <w:spacing w:after="120"/>
        <w:jc w:val="both"/>
        <w:textAlignment w:val="baseline"/>
        <w:rPr>
          <w:rFonts w:ascii="Minion Pro" w:hAnsi="Minion Pro"/>
          <w:color w:val="000000"/>
        </w:rPr>
      </w:pPr>
      <w:r w:rsidRPr="00C20F46">
        <w:rPr>
          <w:rFonts w:ascii="Minion Pro" w:hAnsi="Minion Pro"/>
          <w:color w:val="000000"/>
        </w:rPr>
        <w:t>Uzgajivači vrsta iz Priloga A (EZ) br. 338/97, a koje su navedene u Prilogu X Uredbe Komisije (EZ) br. 865/2006, nisu se dužni registrirati u registar uzgajivača iz stavka 1. ovoga članka.</w:t>
      </w:r>
    </w:p>
    <w:p w:rsidR="00AB1CFB" w:rsidRPr="00C20F46" w:rsidRDefault="00AB1CFB" w:rsidP="00426E4E">
      <w:pPr>
        <w:shd w:val="clear" w:color="auto" w:fill="FFFFFF"/>
        <w:spacing w:after="120"/>
        <w:jc w:val="both"/>
        <w:textAlignment w:val="baseline"/>
        <w:rPr>
          <w:rFonts w:ascii="Minion Pro" w:hAnsi="Minion Pro"/>
          <w:color w:val="000000"/>
        </w:rPr>
      </w:pPr>
      <w:r w:rsidRPr="00C20F46">
        <w:rPr>
          <w:rFonts w:ascii="Minion Pro" w:hAnsi="Minion Pro"/>
          <w:color w:val="000000"/>
        </w:rPr>
        <w:t xml:space="preserve">Rješenje za upis u registar </w:t>
      </w:r>
      <w:r w:rsidR="00B31688" w:rsidRPr="00B31688">
        <w:rPr>
          <w:rFonts w:ascii="Minion Pro" w:hAnsi="Minion Pro"/>
          <w:color w:val="000000"/>
        </w:rPr>
        <w:t xml:space="preserve">uzgajivača vrsta navedenih u Prilogu A Uredbe (EZ) br. 338/97 </w:t>
      </w:r>
      <w:r w:rsidR="00B31688">
        <w:rPr>
          <w:rFonts w:ascii="Minion Pro" w:hAnsi="Minion Pro"/>
          <w:color w:val="000000"/>
        </w:rPr>
        <w:t xml:space="preserve"> </w:t>
      </w:r>
      <w:r w:rsidRPr="00C20F46">
        <w:rPr>
          <w:rFonts w:ascii="Minion Pro" w:hAnsi="Minion Pro"/>
          <w:color w:val="000000"/>
        </w:rPr>
        <w:t>izdaje se na rok do pet godina</w:t>
      </w:r>
      <w:bookmarkStart w:id="0" w:name="_GoBack"/>
      <w:bookmarkEnd w:id="0"/>
      <w:r w:rsidRPr="00C20F46">
        <w:rPr>
          <w:rFonts w:ascii="Minion Pro" w:hAnsi="Minion Pro"/>
          <w:color w:val="000000"/>
        </w:rPr>
        <w:t>.</w:t>
      </w:r>
    </w:p>
    <w:p w:rsidR="00AB1CFB" w:rsidRPr="00C20F46" w:rsidRDefault="00AB1CFB" w:rsidP="00AB1CFB">
      <w:pPr>
        <w:suppressAutoHyphens/>
        <w:autoSpaceDN w:val="0"/>
        <w:spacing w:after="120"/>
        <w:jc w:val="both"/>
        <w:textAlignment w:val="baseline"/>
        <w:rPr>
          <w:rFonts w:eastAsia="Calibri"/>
        </w:rPr>
      </w:pPr>
    </w:p>
    <w:p w:rsidR="00AB1CFB" w:rsidRDefault="00AB1CFB"/>
    <w:sectPr w:rsidR="00AB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FB"/>
    <w:rsid w:val="00426E4E"/>
    <w:rsid w:val="0048373E"/>
    <w:rsid w:val="004D6A42"/>
    <w:rsid w:val="00AB1CFB"/>
    <w:rsid w:val="00B31688"/>
    <w:rsid w:val="00C838D7"/>
    <w:rsid w:val="00C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AD9A"/>
  <w15:chartTrackingRefBased/>
  <w15:docId w15:val="{FC5C7209-BC81-40C3-AA5C-320ABB74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6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eciesplus.net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Partl</dc:creator>
  <cp:keywords/>
  <dc:description/>
  <cp:lastModifiedBy>Ida Partl</cp:lastModifiedBy>
  <cp:revision>2</cp:revision>
  <dcterms:created xsi:type="dcterms:W3CDTF">2022-12-23T08:57:00Z</dcterms:created>
  <dcterms:modified xsi:type="dcterms:W3CDTF">2022-12-23T08:57:00Z</dcterms:modified>
</cp:coreProperties>
</file>